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Краткий отчет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работе комиссии по соблюдению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работников автономного учреждения Воронежской области «Корпоративный университет правительства Воронежской области» и урегулированию конфликта интересов (за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2021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>
        <w:rPr>
          <w:rFonts w:ascii="Times New Roman" w:hAnsi="Times New Roman" w:cs="Times New Roman"/>
        </w:rPr>
      </w:r>
      <w:r/>
    </w:p>
    <w:p>
      <w:pPr>
        <w:ind w:firstLine="709"/>
        <w:spacing w:after="79" w:afterAutospacing="0" w:line="1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79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ind w:firstLine="709"/>
        <w:jc w:val="both"/>
        <w:spacing w:after="79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Заседаний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соблюдению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требований к служебному поведению работников автономного учреждения Воронежской области «Корпоративный университет правительства Воронежской области»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 в 2021 году не проводилось.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2022-10-14T09:31:58Z</dcterms:modified>
</cp:coreProperties>
</file>